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3D5AF">
      <w:pPr>
        <w:outlineLvl w:val="0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sz w:val="24"/>
          <w:szCs w:val="24"/>
        </w:rPr>
        <w:t>Supplementary Material</w:t>
      </w:r>
      <w:r>
        <w:rPr>
          <w:rFonts w:hint="eastAsia" w:eastAsia="宋体" w:cs="Calibri"/>
          <w:b/>
          <w:sz w:val="24"/>
          <w:szCs w:val="24"/>
          <w:lang w:val="en-US" w:eastAsia="zh-CN"/>
        </w:rPr>
        <w:t xml:space="preserve"> 1. 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>T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reatment methods</w:t>
      </w:r>
    </w:p>
    <w:p w14:paraId="6159EE79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Common Treatment:</w:t>
      </w:r>
    </w:p>
    <w:p w14:paraId="3A354E40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Drug: Prednisone acetate tablets (Jichuan Pharmaceutical, specification: 5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mg/tablet);</w:t>
      </w:r>
    </w:p>
    <w:p w14:paraId="1A19ECB3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Dosage: 60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mg/d (12 tablets) → 15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mg/d (3 tablets) at Week 12;</w:t>
      </w:r>
    </w:p>
    <w:p w14:paraId="0A32122A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 xml:space="preserve">Administration: </w:t>
      </w:r>
      <w:r>
        <w:rPr>
          <w:rFonts w:hint="default" w:ascii="Calibri" w:hAnsi="Calibri" w:eastAsia="宋体" w:cs="Calibri"/>
          <w:lang w:eastAsia="zh-CN"/>
        </w:rPr>
        <w:t>Oral once daily after breakfast.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;</w:t>
      </w:r>
    </w:p>
    <w:p w14:paraId="02DFA02B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Dose Adjustment: Reduce to 3 tablets on Day 84 (12th week) without interruption.</w:t>
      </w:r>
    </w:p>
    <w:p w14:paraId="7BBB86C9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</w:p>
    <w:p w14:paraId="201F404F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Tac Group (Tac+GC):</w:t>
      </w:r>
    </w:p>
    <w:p w14:paraId="1F7A7687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Drug: Tacrolimus capsules (0.5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mg/capsule);</w:t>
      </w:r>
    </w:p>
    <w:p w14:paraId="131A9CEF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Starting Dose: 0.1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mg/kg bid (e.g., 20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kg child: 4 capsules/dose, 8 capsules/d);</w:t>
      </w:r>
    </w:p>
    <w:p w14:paraId="163BD5F8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Administration: Oral at 8:00 AM and 8:00 PM on an empty stomach (1 hour before/2 hours after meals);</w:t>
      </w:r>
    </w:p>
    <w:p w14:paraId="1EDC56B0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Blood Trough Concentration Monitoring:</w:t>
      </w:r>
    </w:p>
    <w:p w14:paraId="49FA205F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① Time: 7th day after first dose (fasting 8 hours);</w:t>
      </w:r>
    </w:p>
    <w:p w14:paraId="7AB74936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② Sample: 2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mL venous blood (EDTA anticoagulant tube);</w:t>
      </w:r>
    </w:p>
    <w:p w14:paraId="41B5E15A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③ Detection: Beckman Coulter DxC 800 bi</w:t>
      </w:r>
    </w:p>
    <w:p w14:paraId="7CDD6B7C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ochemical analyzer;</w:t>
      </w:r>
    </w:p>
    <w:p w14:paraId="70C29CB7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④ Dose Adjustment: Target concentration = 10±2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μg/L (increase by 0.02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mg/kg/d if &lt;8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μg/L; decrease by 0.02mg/kg/d if &gt;12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μg/L);</w:t>
      </w:r>
    </w:p>
    <w:p w14:paraId="32C3F7E3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Treatment Duration: 180 days (from first dose).</w:t>
      </w:r>
    </w:p>
    <w:p w14:paraId="10988219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</w:p>
    <w:p w14:paraId="7AEC6DE1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CTX Group (CTX+GC):</w:t>
      </w:r>
    </w:p>
    <w:p w14:paraId="22D2CA3C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Drug: Cyclophosphamide for injection (200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mg/vial);</w:t>
      </w:r>
    </w:p>
    <w:p w14:paraId="1382C633">
      <w:pPr>
        <w:outlineLvl w:val="9"/>
        <w:rPr>
          <w:rFonts w:hint="default" w:ascii="Calibri" w:hAnsi="Calibri" w:eastAsia="宋体" w:cs="Calibri"/>
          <w:b w:val="0"/>
          <w:bCs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Dosage: 1000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 xml:space="preserve">mg/m² per dose </w:t>
      </w:r>
      <w:r>
        <w:rPr>
          <w:rFonts w:hint="default" w:ascii="Calibri" w:hAnsi="Calibri" w:eastAsia="宋体" w:cs="Calibri"/>
          <w:b w:val="0"/>
          <w:sz w:val="22"/>
          <w:szCs w:val="22"/>
          <w:lang w:eastAsia="zh-CN"/>
        </w:rPr>
        <w:t xml:space="preserve">(calculated by body surface area: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BSA(m</w:t>
      </w:r>
      <w:r>
        <w:rPr>
          <w:rFonts w:hint="default" w:ascii="Calibri" w:hAnsi="Calibri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superscript"/>
          <w:lang w:val="en-US" w:eastAsia="zh-CN"/>
        </w:rPr>
        <w:t>2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)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=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0.024265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×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height(cm)</w:t>
      </w:r>
      <w:r>
        <w:rPr>
          <w:rFonts w:hint="default" w:ascii="Calibri" w:hAnsi="Calibri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superscript"/>
          <w:lang w:val="en-US" w:eastAsia="zh-CN"/>
        </w:rPr>
        <w:t>0.3964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superscript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×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weight</w:t>
      </w:r>
      <w:r>
        <w:rPr>
          <w:rFonts w:hint="eastAsia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  <w:lang w:val="en-US" w:eastAsia="zh-CN"/>
        </w:rPr>
        <w:t xml:space="preserve"> </w:t>
      </w:r>
      <w:r>
        <w:rPr>
          <w:rFonts w:hint="default" w:ascii="Calibri" w:hAnsi="Calibri" w:eastAsia="Times New Roman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baseline"/>
        </w:rPr>
        <w:t>(kg)</w:t>
      </w:r>
      <w:r>
        <w:rPr>
          <w:rFonts w:hint="default" w:ascii="Calibri" w:hAnsi="Calibri" w:eastAsia="宋体" w:cs="Calibri"/>
          <w:b w:val="0"/>
          <w:bCs w:val="0"/>
          <w:i w:val="0"/>
          <w:iCs w:val="0"/>
          <w:caps w:val="0"/>
          <w:spacing w:val="0"/>
          <w:sz w:val="22"/>
          <w:szCs w:val="22"/>
          <w:shd w:val="clear" w:fill="FFFFFF"/>
          <w:vertAlign w:val="superscript"/>
          <w:lang w:val="en-US" w:eastAsia="zh-CN"/>
        </w:rPr>
        <w:t>0.5378</w:t>
      </w:r>
      <w:r>
        <w:rPr>
          <w:rFonts w:hint="default" w:ascii="Calibri" w:hAnsi="Calibri" w:eastAsia="宋体" w:cs="Calibri"/>
          <w:b w:val="0"/>
          <w:bCs w:val="0"/>
          <w:sz w:val="22"/>
          <w:szCs w:val="22"/>
          <w:lang w:eastAsia="zh-CN"/>
        </w:rPr>
        <w:t>)</w:t>
      </w:r>
      <w:r>
        <w:rPr>
          <w:rFonts w:hint="default" w:ascii="Calibri" w:hAnsi="Calibri" w:eastAsia="宋体" w:cs="Calibri"/>
          <w:b w:val="0"/>
          <w:bCs w:val="0"/>
          <w:sz w:val="24"/>
          <w:szCs w:val="24"/>
          <w:lang w:eastAsia="zh-CN"/>
        </w:rPr>
        <w:t>;</w:t>
      </w:r>
    </w:p>
    <w:p w14:paraId="0335FE0D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Dilution (Performed in Class II Type A Biosafety Cabinet):</w:t>
      </w:r>
    </w:p>
    <w:p w14:paraId="7AD8B412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① Wear gloves, disposable protective clothing, goggles, and N95 masks;</w:t>
      </w:r>
    </w:p>
    <w:p w14:paraId="3E83BB19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② Add 250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mL 0.9% sodium chloride injection (osmolarity: 280-320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mOsm/L) to CTX powder;</w:t>
      </w:r>
    </w:p>
    <w:p w14:paraId="15612951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③ Mix by aspirating 3 times with a 50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mL sterile syringe (each aspiration ≥5 seconds);</w:t>
      </w:r>
    </w:p>
    <w:p w14:paraId="0B936AC3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Administration: Intravenous infusion at 50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mL/h (infusion time ≥5 hours) via central venous catheter;</w:t>
      </w:r>
    </w:p>
    <w:p w14:paraId="25AC29D7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 xml:space="preserve">Frequency: Monthly (Day 1, Day </w:t>
      </w:r>
      <w:bookmarkStart w:id="0" w:name="_GoBack"/>
      <w:bookmarkEnd w:id="0"/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30, Day 60) → Every 2 months after stabilization (stabilization: 24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hUTP &lt;1</w:t>
      </w:r>
      <w:r>
        <w:rPr>
          <w:rFonts w:hint="default" w:ascii="Calibri" w:hAnsi="Calibri" w:eastAsia="宋体" w:cs="Calibri"/>
          <w:b w:val="0"/>
          <w:sz w:val="24"/>
          <w:szCs w:val="24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g/d + SLEDAI &lt;6 points);</w:t>
      </w:r>
    </w:p>
    <w:p w14:paraId="0F10B600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</w:p>
    <w:p w14:paraId="46A3FBC8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Safety Protection:</w:t>
      </w:r>
    </w:p>
    <w:p w14:paraId="23937471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① Operate in biosafety cabinet;</w:t>
      </w:r>
    </w:p>
    <w:p w14:paraId="3D87A0A2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② Disinfect cabinet with ultraviolet light for 30 minutes after operation;</w:t>
      </w:r>
    </w:p>
    <w:p w14:paraId="16DE103C">
      <w:pPr>
        <w:outlineLvl w:val="9"/>
        <w:rPr>
          <w:rFonts w:hint="default" w:ascii="Calibri" w:hAnsi="Calibri" w:eastAsia="宋体" w:cs="Calibri"/>
          <w:b w:val="0"/>
          <w:sz w:val="24"/>
          <w:szCs w:val="24"/>
          <w:lang w:eastAsia="zh-CN"/>
        </w:rPr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③ Discard waste (syringe, infusion tube) into yellow medical waste bag (autoclaved at 121℃ for 30 minutes before incineration).</w:t>
      </w:r>
    </w:p>
    <w:p w14:paraId="4C4B13CE">
      <w:pPr>
        <w:outlineLvl w:val="9"/>
      </w:pPr>
      <w:r>
        <w:rPr>
          <w:rFonts w:hint="default" w:ascii="Calibri" w:hAnsi="Calibri" w:eastAsia="宋体" w:cs="Calibri"/>
          <w:b w:val="0"/>
          <w:sz w:val="24"/>
          <w:szCs w:val="24"/>
          <w:lang w:eastAsia="zh-CN"/>
        </w:rPr>
        <w:t>Total Treatment Duration: 180 days (no interruption unless severe adverse reactions occur).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440" w:bottom="1440" w:left="1440" w:header="720" w:footer="605" w:gutter="0"/>
      <w:lnNumType w:countBy="1" w:restart="continuous"/>
      <w:pgNumType w:start="1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8D26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5172E">
    <w:pP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716B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0A415">
    <w:pPr>
      <w:tabs>
        <w:tab w:val="center" w:pos="4680"/>
        <w:tab w:val="left" w:pos="5724"/>
        <w:tab w:val="right" w:pos="9360"/>
      </w:tabs>
      <w:rPr>
        <w:b/>
        <w:color w:val="1F497D"/>
        <w:sz w:val="28"/>
        <w:szCs w:val="28"/>
      </w:rPr>
    </w:pPr>
    <w:r>
      <w:rPr>
        <w:color w:val="000000"/>
        <w:sz w:val="22"/>
        <w:szCs w:val="22"/>
      </w:rPr>
      <w:tab/>
    </w:r>
    <w:r>
      <w:rPr>
        <w:color w:val="000000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547F0">
    <w:pP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0464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139E2"/>
    <w:rsid w:val="30336A9F"/>
    <w:rsid w:val="39D139E2"/>
    <w:rsid w:val="3E98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Calibri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2026-05-29T00:39:00Z</dcterms:created>
  <dc:creator>Author</dc:creator>
  <cp:lastModifiedBy>Author</cp:lastModifiedBy>
  <dcterms:modified xsi:type="dcterms:W3CDTF">2026-05-29T00:48:18Z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792E75A44AC04599A4469B2B31520390_11</vt:lpwstr>
  </property>
  <property fmtid="{D5CDD505-2E9C-101B-9397-08002B2CF9AE}" pid="4" name="KSOTemplateDocerSaveRecord">
    <vt:lpwstr>eyJoZGlkIjoiMDkzNGY2NWJjNTk1MGMyOGIxZDUyMjE3ODE5YWMwM2MiLCJ1c2VySWQiOiI0MDIyODk4MzgifQ==</vt:lpwstr>
  </property>
</Properties>
</file>